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06" w:rsidRDefault="00851806" w:rsidP="00851806">
      <w:pPr>
        <w:pStyle w:val="TableCaption"/>
        <w:spacing w:before="0" w:after="0"/>
        <w:rPr>
          <w:sz w:val="24"/>
          <w:lang w:val="ru-RU"/>
        </w:rPr>
      </w:pPr>
      <w:r w:rsidRPr="000D5621">
        <w:rPr>
          <w:lang w:val="ru-RU"/>
        </w:rPr>
        <w:t>Таблица 1</w:t>
      </w:r>
      <w:r>
        <w:rPr>
          <w:b/>
          <w:lang w:val="ru-RU"/>
        </w:rPr>
        <w:t xml:space="preserve"> –</w:t>
      </w:r>
      <w:r w:rsidRPr="00AB4EDA">
        <w:rPr>
          <w:lang w:val="ru-RU"/>
        </w:rPr>
        <w:t xml:space="preserve"> </w:t>
      </w:r>
      <w:r>
        <w:rPr>
          <w:lang w:val="ru-RU"/>
        </w:rPr>
        <w:t xml:space="preserve"> Оценка производственного </w:t>
      </w:r>
      <w:r w:rsidRPr="00411CEF">
        <w:rPr>
          <w:szCs w:val="22"/>
          <w:lang w:val="ru-RU"/>
        </w:rPr>
        <w:t>потенциала промышленного сектора экономики</w:t>
      </w:r>
      <w:r w:rsidRPr="007F5BEB">
        <w:rPr>
          <w:sz w:val="24"/>
          <w:lang w:val="ru-RU"/>
        </w:rPr>
        <w:t xml:space="preserve"> </w:t>
      </w:r>
    </w:p>
    <w:tbl>
      <w:tblPr>
        <w:tblStyle w:val="a3"/>
        <w:tblW w:w="956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81"/>
        <w:gridCol w:w="1134"/>
        <w:gridCol w:w="2126"/>
        <w:gridCol w:w="1843"/>
        <w:gridCol w:w="2083"/>
      </w:tblGrid>
      <w:tr w:rsidR="00851806" w:rsidTr="00851806">
        <w:trPr>
          <w:trHeight w:val="402"/>
        </w:trPr>
        <w:tc>
          <w:tcPr>
            <w:tcW w:w="2381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Регулятор 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Рисковая группа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proofErr w:type="spellStart"/>
            <w:r w:rsidRPr="00610068">
              <w:rPr>
                <w:szCs w:val="22"/>
                <w:lang w:val="ru-RU"/>
              </w:rPr>
              <w:t>Импортозависимая</w:t>
            </w:r>
            <w:proofErr w:type="spellEnd"/>
            <w:r w:rsidRPr="00610068">
              <w:rPr>
                <w:szCs w:val="22"/>
                <w:lang w:val="ru-RU"/>
              </w:rPr>
              <w:t xml:space="preserve"> группа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Материалоемкая группа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proofErr w:type="spellStart"/>
            <w:r w:rsidRPr="00610068">
              <w:rPr>
                <w:szCs w:val="22"/>
                <w:lang w:val="ru-RU"/>
              </w:rPr>
              <w:t>Нематериалоемкая</w:t>
            </w:r>
            <w:proofErr w:type="spellEnd"/>
            <w:r w:rsidRPr="00610068">
              <w:rPr>
                <w:szCs w:val="22"/>
                <w:lang w:val="ru-RU"/>
              </w:rPr>
              <w:t xml:space="preserve"> группа</w:t>
            </w:r>
          </w:p>
        </w:tc>
      </w:tr>
      <w:tr w:rsidR="00851806" w:rsidTr="00851806">
        <w:trPr>
          <w:trHeight w:val="194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Индекс производства, %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100,31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105,41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101,80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101,67</w:t>
            </w:r>
          </w:p>
        </w:tc>
      </w:tr>
      <w:tr w:rsidR="00851806" w:rsidTr="00851806">
        <w:trPr>
          <w:trHeight w:val="402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Коэффициент обновления основных средств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11,02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15,13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14,52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15,12</w:t>
            </w:r>
          </w:p>
        </w:tc>
      </w:tr>
      <w:tr w:rsidR="00851806" w:rsidTr="00851806">
        <w:trPr>
          <w:trHeight w:val="402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Степень износа основных средств, %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41,89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40,19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40,83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47,22</w:t>
            </w:r>
          </w:p>
        </w:tc>
      </w:tr>
      <w:tr w:rsidR="00851806" w:rsidTr="00851806">
        <w:trPr>
          <w:trHeight w:val="402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Материалоемкость производства, %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59,54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46,22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61,58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26,07</w:t>
            </w:r>
          </w:p>
        </w:tc>
      </w:tr>
      <w:tr w:rsidR="00851806" w:rsidRPr="00AA4120" w:rsidTr="00851806">
        <w:trPr>
          <w:trHeight w:val="402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Доля импорта в объеме отгруженной продукции, %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32,76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27,65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7,70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0,47</w:t>
            </w:r>
          </w:p>
        </w:tc>
      </w:tr>
      <w:tr w:rsidR="00851806" w:rsidRPr="00AA4120" w:rsidTr="00851806">
        <w:trPr>
          <w:trHeight w:val="390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Доля экспорта в объеме отгруженной продукции, %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6,69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0,21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68,70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86,17</w:t>
            </w:r>
          </w:p>
        </w:tc>
      </w:tr>
      <w:tr w:rsidR="00851806" w:rsidRPr="00AA4120" w:rsidTr="00851806">
        <w:trPr>
          <w:trHeight w:val="274"/>
        </w:trPr>
        <w:tc>
          <w:tcPr>
            <w:tcW w:w="2381" w:type="dxa"/>
          </w:tcPr>
          <w:p w:rsidR="00851806" w:rsidRPr="00610068" w:rsidRDefault="00851806" w:rsidP="00D23746">
            <w:pPr>
              <w:pStyle w:val="TableCaption"/>
              <w:spacing w:before="0" w:after="0"/>
              <w:jc w:val="both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Приходится инвестиций на одного работающего, тыс. руб. / чел.</w:t>
            </w:r>
          </w:p>
        </w:tc>
        <w:tc>
          <w:tcPr>
            <w:tcW w:w="1134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175,84</w:t>
            </w:r>
          </w:p>
        </w:tc>
        <w:tc>
          <w:tcPr>
            <w:tcW w:w="2126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61,73</w:t>
            </w:r>
          </w:p>
        </w:tc>
        <w:tc>
          <w:tcPr>
            <w:tcW w:w="184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323,32</w:t>
            </w:r>
          </w:p>
        </w:tc>
        <w:tc>
          <w:tcPr>
            <w:tcW w:w="2083" w:type="dxa"/>
            <w:vAlign w:val="center"/>
          </w:tcPr>
          <w:p w:rsidR="00851806" w:rsidRPr="00610068" w:rsidRDefault="00851806" w:rsidP="00D23746">
            <w:pPr>
              <w:pStyle w:val="TableCaption"/>
              <w:spacing w:before="0" w:after="0"/>
              <w:rPr>
                <w:szCs w:val="22"/>
                <w:lang w:val="ru-RU"/>
              </w:rPr>
            </w:pPr>
            <w:r w:rsidRPr="00610068">
              <w:rPr>
                <w:szCs w:val="22"/>
                <w:lang w:val="ru-RU"/>
              </w:rPr>
              <w:t>1293,16</w:t>
            </w:r>
          </w:p>
        </w:tc>
      </w:tr>
    </w:tbl>
    <w:p w:rsidR="00851806" w:rsidRPr="00411CEF" w:rsidRDefault="00851806" w:rsidP="0085180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11CEF">
        <w:rPr>
          <w:rFonts w:ascii="Times New Roman" w:hAnsi="Times New Roman" w:cs="Times New Roman"/>
          <w:bCs/>
        </w:rPr>
        <w:t>Источник: по данным Росстата РФ (в среднем</w:t>
      </w:r>
      <w:r w:rsidRPr="00411CEF">
        <w:rPr>
          <w:rFonts w:ascii="Times New Roman" w:hAnsi="Times New Roman" w:cs="Times New Roman"/>
        </w:rPr>
        <w:t xml:space="preserve"> за период с 2007</w:t>
      </w:r>
      <w:r>
        <w:rPr>
          <w:rFonts w:ascii="Times New Roman" w:hAnsi="Times New Roman" w:cs="Times New Roman"/>
        </w:rPr>
        <w:t xml:space="preserve"> год по </w:t>
      </w:r>
      <w:r w:rsidRPr="00411CEF">
        <w:rPr>
          <w:rFonts w:ascii="Times New Roman" w:hAnsi="Times New Roman" w:cs="Times New Roman"/>
        </w:rPr>
        <w:t>2017 г</w:t>
      </w:r>
      <w:r>
        <w:rPr>
          <w:rFonts w:ascii="Times New Roman" w:hAnsi="Times New Roman" w:cs="Times New Roman"/>
        </w:rPr>
        <w:t>од</w:t>
      </w:r>
      <w:r w:rsidRPr="00411CEF">
        <w:rPr>
          <w:rFonts w:ascii="Times New Roman" w:hAnsi="Times New Roman" w:cs="Times New Roman"/>
          <w:bCs/>
        </w:rPr>
        <w:t>)</w:t>
      </w:r>
    </w:p>
    <w:p w:rsidR="00902733" w:rsidRDefault="00902733">
      <w:bookmarkStart w:id="0" w:name="_GoBack"/>
      <w:bookmarkEnd w:id="0"/>
    </w:p>
    <w:sectPr w:rsidR="0090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8E"/>
    <w:rsid w:val="004E74C5"/>
    <w:rsid w:val="0050208E"/>
    <w:rsid w:val="00851806"/>
    <w:rsid w:val="0090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E953-A499-4B91-9C2F-8934D442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a"/>
    <w:link w:val="TableCaptionChar"/>
    <w:qFormat/>
    <w:rsid w:val="00851806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TableCaptionChar">
    <w:name w:val="Table Caption Char"/>
    <w:basedOn w:val="a0"/>
    <w:link w:val="TableCaption"/>
    <w:rsid w:val="00851806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2019-07-13T10:17:00Z</dcterms:created>
  <dcterms:modified xsi:type="dcterms:W3CDTF">2019-07-13T10:17:00Z</dcterms:modified>
</cp:coreProperties>
</file>